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2" w14:textId="7DFF1489" w:rsidR="00A30F84" w:rsidRPr="00E83672" w:rsidRDefault="008C1292" w:rsidP="00E83672">
      <w:pPr>
        <w:shd w:val="clear" w:color="auto" w:fill="FFFFFF"/>
        <w:spacing w:line="331" w:lineRule="auto"/>
        <w:jc w:val="center"/>
        <w:rPr>
          <w:rFonts w:asciiTheme="majorHAnsi" w:hAnsiTheme="majorHAnsi" w:cstheme="majorHAnsi"/>
          <w:sz w:val="24"/>
          <w:szCs w:val="24"/>
        </w:rPr>
      </w:pPr>
      <w:r w:rsidRPr="00E83672">
        <w:rPr>
          <w:rFonts w:asciiTheme="majorHAnsi" w:hAnsiTheme="majorHAnsi" w:cstheme="majorHAnsi"/>
          <w:b/>
          <w:sz w:val="24"/>
          <w:szCs w:val="24"/>
        </w:rPr>
        <w:t xml:space="preserve">CONVOCATORIA </w:t>
      </w:r>
      <w:r w:rsidR="00471B04" w:rsidRPr="00E83672">
        <w:rPr>
          <w:rFonts w:asciiTheme="majorHAnsi" w:hAnsiTheme="majorHAnsi" w:cstheme="majorHAnsi"/>
          <w:b/>
          <w:sz w:val="24"/>
          <w:szCs w:val="24"/>
        </w:rPr>
        <w:t xml:space="preserve">ABIERTA </w:t>
      </w:r>
      <w:r w:rsidRPr="00E83672">
        <w:rPr>
          <w:rFonts w:asciiTheme="majorHAnsi" w:hAnsiTheme="majorHAnsi" w:cstheme="majorHAnsi"/>
          <w:b/>
          <w:sz w:val="24"/>
          <w:szCs w:val="24"/>
        </w:rPr>
        <w:t>PARA ARTISTAS Y CURADORES</w:t>
      </w:r>
      <w:r w:rsidR="00471B04">
        <w:rPr>
          <w:rFonts w:asciiTheme="majorHAnsi" w:hAnsiTheme="majorHAnsi" w:cstheme="majorHAnsi"/>
          <w:b/>
          <w:sz w:val="24"/>
          <w:szCs w:val="24"/>
        </w:rPr>
        <w:t xml:space="preserve"> </w:t>
      </w:r>
      <w:r w:rsidR="00471B04">
        <w:rPr>
          <w:rFonts w:asciiTheme="majorHAnsi" w:hAnsiTheme="majorHAnsi" w:cstheme="majorHAnsi"/>
          <w:b/>
          <w:sz w:val="24"/>
          <w:szCs w:val="24"/>
        </w:rPr>
        <w:t xml:space="preserve">RUMBO A </w:t>
      </w:r>
      <w:r w:rsidR="00471B04" w:rsidRPr="00E83672">
        <w:rPr>
          <w:rFonts w:asciiTheme="majorHAnsi" w:hAnsiTheme="majorHAnsi" w:cstheme="majorHAnsi"/>
          <w:b/>
          <w:sz w:val="24"/>
          <w:szCs w:val="24"/>
        </w:rPr>
        <w:t>BIENALSUR 2021</w:t>
      </w:r>
    </w:p>
    <w:p w14:paraId="00000004" w14:textId="0A70FDAE" w:rsidR="00A30F84" w:rsidRPr="00E83672" w:rsidRDefault="00CE3782" w:rsidP="00471B04">
      <w:pPr>
        <w:shd w:val="clear" w:color="auto" w:fill="FFFFFF"/>
        <w:spacing w:line="331" w:lineRule="auto"/>
        <w:jc w:val="both"/>
        <w:rPr>
          <w:rFonts w:asciiTheme="majorHAnsi" w:hAnsiTheme="majorHAnsi" w:cstheme="majorHAnsi"/>
          <w:sz w:val="24"/>
          <w:szCs w:val="24"/>
        </w:rPr>
      </w:pPr>
      <w:r w:rsidRPr="00E83672">
        <w:rPr>
          <w:rFonts w:asciiTheme="majorHAnsi" w:hAnsiTheme="majorHAnsi" w:cstheme="majorHAnsi"/>
          <w:sz w:val="24"/>
          <w:szCs w:val="24"/>
        </w:rPr>
        <w:t>Con el propósito de continuar contribuyendo desde el Sur en la creación de una ciudadanía cultural, la</w:t>
      </w:r>
      <w:r w:rsidR="00CE7FD1" w:rsidRPr="00E83672">
        <w:rPr>
          <w:rFonts w:asciiTheme="majorHAnsi" w:hAnsiTheme="majorHAnsi" w:cstheme="majorHAnsi"/>
          <w:sz w:val="24"/>
          <w:szCs w:val="24"/>
        </w:rPr>
        <w:t xml:space="preserve"> Dirección General y Artística de BIENALSUR</w:t>
      </w:r>
      <w:r w:rsidR="00471B04">
        <w:rPr>
          <w:rFonts w:asciiTheme="majorHAnsi" w:hAnsiTheme="majorHAnsi" w:cstheme="majorHAnsi"/>
          <w:sz w:val="24"/>
          <w:szCs w:val="24"/>
        </w:rPr>
        <w:t xml:space="preserve"> </w:t>
      </w:r>
      <w:r w:rsidR="00CE7FD1" w:rsidRPr="00E83672">
        <w:rPr>
          <w:rFonts w:asciiTheme="majorHAnsi" w:hAnsiTheme="majorHAnsi" w:cstheme="majorHAnsi"/>
          <w:sz w:val="24"/>
          <w:szCs w:val="24"/>
        </w:rPr>
        <w:t>convoca a artistas y curadores a presentar proyectos de obras y de curaduría de investigación pa</w:t>
      </w:r>
      <w:r w:rsidR="00471B04">
        <w:rPr>
          <w:rFonts w:asciiTheme="majorHAnsi" w:hAnsiTheme="majorHAnsi" w:cstheme="majorHAnsi"/>
          <w:sz w:val="24"/>
          <w:szCs w:val="24"/>
        </w:rPr>
        <w:t xml:space="preserve">ra integrar la programación de la </w:t>
      </w:r>
      <w:r w:rsidR="00CE7FD1" w:rsidRPr="00E83672">
        <w:rPr>
          <w:rFonts w:asciiTheme="majorHAnsi" w:hAnsiTheme="majorHAnsi" w:cstheme="majorHAnsi"/>
          <w:sz w:val="24"/>
          <w:szCs w:val="24"/>
        </w:rPr>
        <w:t>tercera edición</w:t>
      </w:r>
      <w:r w:rsidRPr="00E83672">
        <w:rPr>
          <w:rFonts w:asciiTheme="majorHAnsi" w:hAnsiTheme="majorHAnsi" w:cstheme="majorHAnsi"/>
          <w:sz w:val="24"/>
          <w:szCs w:val="24"/>
        </w:rPr>
        <w:t xml:space="preserve"> </w:t>
      </w:r>
      <w:r w:rsidR="00471B04">
        <w:rPr>
          <w:rFonts w:asciiTheme="majorHAnsi" w:hAnsiTheme="majorHAnsi" w:cstheme="majorHAnsi"/>
          <w:sz w:val="24"/>
          <w:szCs w:val="24"/>
        </w:rPr>
        <w:t xml:space="preserve">de </w:t>
      </w:r>
      <w:r w:rsidRPr="00E83672">
        <w:rPr>
          <w:rFonts w:asciiTheme="majorHAnsi" w:hAnsiTheme="majorHAnsi" w:cstheme="majorHAnsi"/>
          <w:sz w:val="24"/>
          <w:szCs w:val="24"/>
        </w:rPr>
        <w:t>BIENALSUR</w:t>
      </w:r>
      <w:r w:rsidR="00471B04">
        <w:rPr>
          <w:rFonts w:asciiTheme="majorHAnsi" w:hAnsiTheme="majorHAnsi" w:cstheme="majorHAnsi"/>
          <w:sz w:val="24"/>
          <w:szCs w:val="24"/>
        </w:rPr>
        <w:t xml:space="preserve"> que tendrá </w:t>
      </w:r>
      <w:r w:rsidR="00CE7FD1" w:rsidRPr="00E83672">
        <w:rPr>
          <w:rFonts w:asciiTheme="majorHAnsi" w:hAnsiTheme="majorHAnsi" w:cstheme="majorHAnsi"/>
          <w:sz w:val="24"/>
          <w:szCs w:val="24"/>
        </w:rPr>
        <w:t xml:space="preserve">lugar en distintas sedes de América del Sur, África, Asia, Europa y América Central y del Norte, de julio a </w:t>
      </w:r>
      <w:r w:rsidR="003B5349">
        <w:rPr>
          <w:rFonts w:asciiTheme="majorHAnsi" w:hAnsiTheme="majorHAnsi" w:cstheme="majorHAnsi"/>
          <w:sz w:val="24"/>
          <w:szCs w:val="24"/>
        </w:rPr>
        <w:t>noviembre</w:t>
      </w:r>
      <w:r w:rsidR="00CE7FD1" w:rsidRPr="00E83672">
        <w:rPr>
          <w:rFonts w:asciiTheme="majorHAnsi" w:hAnsiTheme="majorHAnsi" w:cstheme="majorHAnsi"/>
          <w:sz w:val="24"/>
          <w:szCs w:val="24"/>
        </w:rPr>
        <w:t xml:space="preserve"> de 2021.</w:t>
      </w:r>
    </w:p>
    <w:p w14:paraId="00000005" w14:textId="7E1C646E" w:rsidR="00A30F84" w:rsidRPr="00E83672" w:rsidRDefault="00CE7FD1">
      <w:pPr>
        <w:shd w:val="clear" w:color="auto" w:fill="FFFFFF"/>
        <w:spacing w:line="331" w:lineRule="auto"/>
        <w:jc w:val="both"/>
        <w:rPr>
          <w:rFonts w:asciiTheme="majorHAnsi" w:hAnsiTheme="majorHAnsi" w:cstheme="majorHAnsi"/>
          <w:sz w:val="24"/>
          <w:szCs w:val="24"/>
        </w:rPr>
      </w:pPr>
      <w:r w:rsidRPr="00E83672">
        <w:rPr>
          <w:rFonts w:asciiTheme="majorHAnsi" w:hAnsiTheme="majorHAnsi" w:cstheme="majorHAnsi"/>
          <w:sz w:val="24"/>
          <w:szCs w:val="24"/>
        </w:rPr>
        <w:t xml:space="preserve">Las </w:t>
      </w:r>
      <w:r w:rsidR="00471B04" w:rsidRPr="00E83672">
        <w:rPr>
          <w:rFonts w:asciiTheme="majorHAnsi" w:hAnsiTheme="majorHAnsi" w:cstheme="majorHAnsi"/>
          <w:sz w:val="24"/>
          <w:szCs w:val="24"/>
        </w:rPr>
        <w:t xml:space="preserve">propuestas </w:t>
      </w:r>
      <w:r w:rsidR="00471B04">
        <w:rPr>
          <w:rFonts w:asciiTheme="majorHAnsi" w:hAnsiTheme="majorHAnsi" w:cstheme="majorHAnsi"/>
          <w:sz w:val="24"/>
          <w:szCs w:val="24"/>
        </w:rPr>
        <w:t>podrán</w:t>
      </w:r>
      <w:r w:rsidR="00CE3782" w:rsidRPr="00E83672">
        <w:rPr>
          <w:rFonts w:asciiTheme="majorHAnsi" w:hAnsiTheme="majorHAnsi" w:cstheme="majorHAnsi"/>
          <w:sz w:val="24"/>
          <w:szCs w:val="24"/>
        </w:rPr>
        <w:t xml:space="preserve"> hacerse </w:t>
      </w:r>
      <w:r w:rsidR="00E83672">
        <w:rPr>
          <w:rFonts w:asciiTheme="majorHAnsi" w:hAnsiTheme="majorHAnsi" w:cstheme="majorHAnsi"/>
          <w:sz w:val="24"/>
          <w:szCs w:val="24"/>
        </w:rPr>
        <w:t xml:space="preserve">únicamente </w:t>
      </w:r>
      <w:r w:rsidR="00CE3782" w:rsidRPr="00E83672">
        <w:rPr>
          <w:rFonts w:asciiTheme="majorHAnsi" w:hAnsiTheme="majorHAnsi" w:cstheme="majorHAnsi"/>
          <w:sz w:val="24"/>
          <w:szCs w:val="24"/>
        </w:rPr>
        <w:t xml:space="preserve">a través de la página </w:t>
      </w:r>
      <w:hyperlink r:id="rId6" w:history="1">
        <w:r w:rsidR="00CE3782" w:rsidRPr="00E83672">
          <w:rPr>
            <w:rStyle w:val="Hipervnculo"/>
            <w:rFonts w:asciiTheme="majorHAnsi" w:hAnsiTheme="majorHAnsi" w:cstheme="majorHAnsi"/>
            <w:sz w:val="24"/>
            <w:szCs w:val="24"/>
          </w:rPr>
          <w:t>www.bienalsur.org</w:t>
        </w:r>
      </w:hyperlink>
      <w:r w:rsidR="00CE3782" w:rsidRPr="00E83672">
        <w:rPr>
          <w:rFonts w:asciiTheme="majorHAnsi" w:hAnsiTheme="majorHAnsi" w:cstheme="majorHAnsi"/>
          <w:sz w:val="24"/>
          <w:szCs w:val="24"/>
        </w:rPr>
        <w:t xml:space="preserve"> y </w:t>
      </w:r>
      <w:r w:rsidRPr="00E83672">
        <w:rPr>
          <w:rFonts w:asciiTheme="majorHAnsi" w:hAnsiTheme="majorHAnsi" w:cstheme="majorHAnsi"/>
          <w:sz w:val="24"/>
          <w:szCs w:val="24"/>
        </w:rPr>
        <w:t>habrán de situarse dentro del horizonte de las teorías contemporáneas del arte y la cultura en busca de contribuir a pensar, problematizar o dar otras miradas y aproximaciones a la multiplicidad de experiencias vitales de nuestro tiempo.</w:t>
      </w:r>
    </w:p>
    <w:p w14:paraId="00000006" w14:textId="17B4652C" w:rsidR="00A30F84" w:rsidRPr="00E83672" w:rsidRDefault="00CE7FD1">
      <w:pPr>
        <w:shd w:val="clear" w:color="auto" w:fill="FFFFFF"/>
        <w:spacing w:line="331" w:lineRule="auto"/>
        <w:jc w:val="both"/>
        <w:rPr>
          <w:rFonts w:asciiTheme="majorHAnsi" w:hAnsiTheme="majorHAnsi" w:cstheme="majorHAnsi"/>
          <w:sz w:val="24"/>
          <w:szCs w:val="24"/>
        </w:rPr>
      </w:pPr>
      <w:r w:rsidRPr="00E83672">
        <w:rPr>
          <w:rFonts w:asciiTheme="majorHAnsi" w:hAnsiTheme="majorHAnsi" w:cstheme="majorHAnsi"/>
          <w:sz w:val="24"/>
          <w:szCs w:val="24"/>
        </w:rPr>
        <w:t xml:space="preserve">Podrán presentarse a la convocatoria artistas y curadores de cualquier nacionalidad, de manera individual o colectiva </w:t>
      </w:r>
      <w:r w:rsidR="00CE3782" w:rsidRPr="00E83672">
        <w:rPr>
          <w:rFonts w:asciiTheme="majorHAnsi" w:hAnsiTheme="majorHAnsi" w:cstheme="majorHAnsi"/>
          <w:sz w:val="24"/>
          <w:szCs w:val="24"/>
        </w:rPr>
        <w:t xml:space="preserve">desde el 15 de febrero </w:t>
      </w:r>
      <w:r w:rsidRPr="00E83672">
        <w:rPr>
          <w:rFonts w:asciiTheme="majorHAnsi" w:hAnsiTheme="majorHAnsi" w:cstheme="majorHAnsi"/>
          <w:sz w:val="24"/>
          <w:szCs w:val="24"/>
        </w:rPr>
        <w:t xml:space="preserve">hasta el </w:t>
      </w:r>
      <w:r w:rsidR="00471B04">
        <w:rPr>
          <w:rFonts w:asciiTheme="majorHAnsi" w:hAnsiTheme="majorHAnsi" w:cstheme="majorHAnsi"/>
          <w:sz w:val="24"/>
          <w:szCs w:val="24"/>
        </w:rPr>
        <w:t>15 de junio de 2020.</w:t>
      </w:r>
    </w:p>
    <w:p w14:paraId="4156E1F5" w14:textId="0391C6A6" w:rsidR="008C1292" w:rsidRPr="00E83672" w:rsidRDefault="00CE7FD1">
      <w:pPr>
        <w:shd w:val="clear" w:color="auto" w:fill="FFFFFF"/>
        <w:spacing w:line="331" w:lineRule="auto"/>
        <w:jc w:val="both"/>
        <w:rPr>
          <w:rFonts w:asciiTheme="majorHAnsi" w:hAnsiTheme="majorHAnsi" w:cstheme="majorHAnsi"/>
          <w:sz w:val="24"/>
          <w:szCs w:val="24"/>
        </w:rPr>
      </w:pPr>
      <w:r w:rsidRPr="00E83672">
        <w:rPr>
          <w:rFonts w:asciiTheme="majorHAnsi" w:hAnsiTheme="majorHAnsi" w:cstheme="majorHAnsi"/>
          <w:sz w:val="24"/>
          <w:szCs w:val="24"/>
        </w:rPr>
        <w:t xml:space="preserve">BIENALSUR es un proyecto llevado adelante por UNTREF (Universidad Nacional de Tres de </w:t>
      </w:r>
      <w:proofErr w:type="gramStart"/>
      <w:r w:rsidRPr="00E83672">
        <w:rPr>
          <w:rFonts w:asciiTheme="majorHAnsi" w:hAnsiTheme="majorHAnsi" w:cstheme="majorHAnsi"/>
          <w:sz w:val="24"/>
          <w:szCs w:val="24"/>
        </w:rPr>
        <w:t>Febrero</w:t>
      </w:r>
      <w:proofErr w:type="gramEnd"/>
      <w:r w:rsidRPr="00E83672">
        <w:rPr>
          <w:rFonts w:asciiTheme="majorHAnsi" w:hAnsiTheme="majorHAnsi" w:cstheme="majorHAnsi"/>
          <w:sz w:val="24"/>
          <w:szCs w:val="24"/>
        </w:rPr>
        <w:t xml:space="preserve"> de Buenos Aires), una universidad pública argentina</w:t>
      </w:r>
      <w:r w:rsidR="008C1292" w:rsidRPr="00E83672">
        <w:rPr>
          <w:rFonts w:asciiTheme="majorHAnsi" w:hAnsiTheme="majorHAnsi" w:cstheme="majorHAnsi"/>
          <w:sz w:val="24"/>
          <w:szCs w:val="24"/>
        </w:rPr>
        <w:t xml:space="preserve"> en asociación con entidades culturales, sociales y públicas del mundo</w:t>
      </w:r>
      <w:r w:rsidR="00CE3782" w:rsidRPr="00E83672">
        <w:rPr>
          <w:rFonts w:asciiTheme="majorHAnsi" w:hAnsiTheme="majorHAnsi" w:cstheme="majorHAnsi"/>
          <w:sz w:val="24"/>
          <w:szCs w:val="24"/>
        </w:rPr>
        <w:t>.</w:t>
      </w:r>
      <w:r w:rsidRPr="00E83672">
        <w:rPr>
          <w:rFonts w:asciiTheme="majorHAnsi" w:hAnsiTheme="majorHAnsi" w:cstheme="majorHAnsi"/>
          <w:sz w:val="24"/>
          <w:szCs w:val="24"/>
        </w:rPr>
        <w:t xml:space="preserve"> </w:t>
      </w:r>
    </w:p>
    <w:p w14:paraId="00000007" w14:textId="462C3A9C" w:rsidR="00A30F84" w:rsidRPr="00E83672" w:rsidRDefault="008C1292">
      <w:pPr>
        <w:shd w:val="clear" w:color="auto" w:fill="FFFFFF"/>
        <w:spacing w:line="331" w:lineRule="auto"/>
        <w:jc w:val="both"/>
        <w:rPr>
          <w:rFonts w:asciiTheme="majorHAnsi" w:hAnsiTheme="majorHAnsi" w:cstheme="majorHAnsi"/>
          <w:sz w:val="24"/>
          <w:szCs w:val="24"/>
        </w:rPr>
      </w:pPr>
      <w:r w:rsidRPr="00E83672">
        <w:rPr>
          <w:rFonts w:asciiTheme="majorHAnsi" w:hAnsiTheme="majorHAnsi" w:cstheme="majorHAnsi"/>
          <w:sz w:val="24"/>
          <w:szCs w:val="24"/>
        </w:rPr>
        <w:t>Con un formato único la edición 2019 de BIENALSUR transcurrió durante 200 días seguidos de mayo a noviembre, en 47 ciudades en países como España, Francia, Colombia, Perú, Italia, Japón y Arabia Saudita, entre otros, reuniendo</w:t>
      </w:r>
      <w:r w:rsidR="00E83672">
        <w:rPr>
          <w:rFonts w:asciiTheme="majorHAnsi" w:hAnsiTheme="majorHAnsi" w:cstheme="majorHAnsi"/>
          <w:sz w:val="24"/>
          <w:szCs w:val="24"/>
        </w:rPr>
        <w:t xml:space="preserve"> a más de </w:t>
      </w:r>
      <w:r w:rsidR="00821DBF">
        <w:rPr>
          <w:rFonts w:asciiTheme="majorHAnsi" w:hAnsiTheme="majorHAnsi" w:cstheme="majorHAnsi"/>
          <w:sz w:val="24"/>
          <w:szCs w:val="24"/>
        </w:rPr>
        <w:t>800</w:t>
      </w:r>
      <w:r w:rsidRPr="00E83672">
        <w:rPr>
          <w:rFonts w:asciiTheme="majorHAnsi" w:hAnsiTheme="majorHAnsi" w:cstheme="majorHAnsi"/>
          <w:sz w:val="24"/>
          <w:szCs w:val="24"/>
        </w:rPr>
        <w:t xml:space="preserve"> artistas en 112 sedes con un estimado de llegada a 33 000 000 personas en el mundo.</w:t>
      </w:r>
    </w:p>
    <w:p w14:paraId="3A33C99C" w14:textId="77777777" w:rsidR="008C1292" w:rsidRPr="00E83672" w:rsidRDefault="008C1292">
      <w:pPr>
        <w:shd w:val="clear" w:color="auto" w:fill="FFFFFF"/>
        <w:spacing w:line="331" w:lineRule="auto"/>
        <w:jc w:val="both"/>
        <w:rPr>
          <w:rFonts w:asciiTheme="majorHAnsi" w:hAnsiTheme="majorHAnsi" w:cstheme="majorHAnsi"/>
          <w:sz w:val="24"/>
          <w:szCs w:val="24"/>
        </w:rPr>
      </w:pPr>
    </w:p>
    <w:p w14:paraId="00000009" w14:textId="77777777" w:rsidR="00A30F84" w:rsidRPr="00E83672" w:rsidRDefault="00A30F84">
      <w:pPr>
        <w:jc w:val="both"/>
        <w:rPr>
          <w:rFonts w:asciiTheme="majorHAnsi" w:hAnsiTheme="majorHAnsi" w:cstheme="majorHAnsi"/>
          <w:b/>
          <w:sz w:val="24"/>
          <w:szCs w:val="24"/>
        </w:rPr>
      </w:pPr>
    </w:p>
    <w:p w14:paraId="0000000A" w14:textId="77777777" w:rsidR="00A30F84" w:rsidRPr="00E83672" w:rsidRDefault="00A30F84">
      <w:pPr>
        <w:jc w:val="both"/>
        <w:rPr>
          <w:rFonts w:asciiTheme="majorHAnsi" w:hAnsiTheme="majorHAnsi" w:cstheme="majorHAnsi"/>
          <w:b/>
          <w:sz w:val="24"/>
          <w:szCs w:val="24"/>
        </w:rPr>
      </w:pPr>
    </w:p>
    <w:p w14:paraId="0000000B" w14:textId="77777777" w:rsidR="00A30F84" w:rsidRPr="00E83672" w:rsidRDefault="00A30F84">
      <w:pPr>
        <w:jc w:val="both"/>
        <w:rPr>
          <w:rFonts w:asciiTheme="majorHAnsi" w:hAnsiTheme="majorHAnsi" w:cstheme="majorHAnsi"/>
          <w:b/>
          <w:sz w:val="24"/>
          <w:szCs w:val="24"/>
        </w:rPr>
      </w:pPr>
    </w:p>
    <w:p w14:paraId="0000000C" w14:textId="77777777" w:rsidR="00A30F84" w:rsidRPr="00E83672" w:rsidRDefault="00A30F84">
      <w:pPr>
        <w:jc w:val="both"/>
        <w:rPr>
          <w:rFonts w:asciiTheme="majorHAnsi" w:hAnsiTheme="majorHAnsi" w:cstheme="majorHAnsi"/>
          <w:b/>
          <w:sz w:val="24"/>
          <w:szCs w:val="24"/>
        </w:rPr>
      </w:pPr>
    </w:p>
    <w:p w14:paraId="0000000D" w14:textId="77777777" w:rsidR="00A30F84" w:rsidRPr="00E83672" w:rsidRDefault="00A30F84">
      <w:pPr>
        <w:jc w:val="both"/>
        <w:rPr>
          <w:rFonts w:asciiTheme="majorHAnsi" w:hAnsiTheme="majorHAnsi" w:cstheme="majorHAnsi"/>
          <w:b/>
          <w:sz w:val="24"/>
          <w:szCs w:val="24"/>
        </w:rPr>
      </w:pPr>
    </w:p>
    <w:p w14:paraId="00000015" w14:textId="77777777" w:rsidR="00A30F84" w:rsidRPr="00E83672" w:rsidRDefault="00CE7FD1">
      <w:pPr>
        <w:jc w:val="both"/>
        <w:rPr>
          <w:rFonts w:asciiTheme="majorHAnsi" w:hAnsiTheme="majorHAnsi" w:cstheme="majorHAnsi"/>
          <w:b/>
          <w:sz w:val="24"/>
          <w:szCs w:val="24"/>
        </w:rPr>
      </w:pPr>
      <w:r w:rsidRPr="00E83672">
        <w:rPr>
          <w:rFonts w:asciiTheme="majorHAnsi" w:hAnsiTheme="majorHAnsi" w:cstheme="majorHAnsi"/>
          <w:b/>
          <w:sz w:val="24"/>
          <w:szCs w:val="24"/>
        </w:rPr>
        <w:lastRenderedPageBreak/>
        <w:t>PREGUNTAS FRECUENTES</w:t>
      </w:r>
    </w:p>
    <w:p w14:paraId="00000016" w14:textId="77777777" w:rsidR="00A30F84" w:rsidRPr="00E83672" w:rsidRDefault="00CE7FD1">
      <w:pPr>
        <w:jc w:val="both"/>
        <w:rPr>
          <w:rFonts w:asciiTheme="majorHAnsi" w:hAnsiTheme="majorHAnsi" w:cstheme="majorHAnsi"/>
          <w:b/>
          <w:sz w:val="24"/>
          <w:szCs w:val="24"/>
        </w:rPr>
      </w:pPr>
      <w:r w:rsidRPr="00E83672">
        <w:rPr>
          <w:rFonts w:asciiTheme="majorHAnsi" w:hAnsiTheme="majorHAnsi" w:cstheme="majorHAnsi"/>
          <w:b/>
          <w:sz w:val="24"/>
          <w:szCs w:val="24"/>
        </w:rPr>
        <w:t>¿En qué fecha se desarrollará la próxima edición de BIENALSUR 2021?</w:t>
      </w:r>
    </w:p>
    <w:p w14:paraId="00000017" w14:textId="11B887C4" w:rsidR="00A30F84" w:rsidRPr="00E83672" w:rsidRDefault="00CE7FD1">
      <w:pPr>
        <w:jc w:val="both"/>
        <w:rPr>
          <w:rFonts w:asciiTheme="majorHAnsi" w:hAnsiTheme="majorHAnsi" w:cstheme="majorHAnsi"/>
          <w:sz w:val="24"/>
          <w:szCs w:val="24"/>
        </w:rPr>
      </w:pPr>
      <w:r w:rsidRPr="00E83672">
        <w:rPr>
          <w:rFonts w:asciiTheme="majorHAnsi" w:hAnsiTheme="majorHAnsi" w:cstheme="majorHAnsi"/>
          <w:sz w:val="24"/>
          <w:szCs w:val="24"/>
        </w:rPr>
        <w:t xml:space="preserve">La tercera edición de BIENALSUR se desarrollará entre julio y </w:t>
      </w:r>
      <w:r w:rsidR="00E83672" w:rsidRPr="00E83672">
        <w:rPr>
          <w:rFonts w:asciiTheme="majorHAnsi" w:hAnsiTheme="majorHAnsi" w:cstheme="majorHAnsi"/>
          <w:sz w:val="24"/>
          <w:szCs w:val="24"/>
        </w:rPr>
        <w:t>septiembre</w:t>
      </w:r>
      <w:r w:rsidRPr="00E83672">
        <w:rPr>
          <w:rFonts w:asciiTheme="majorHAnsi" w:hAnsiTheme="majorHAnsi" w:cstheme="majorHAnsi"/>
          <w:sz w:val="24"/>
          <w:szCs w:val="24"/>
        </w:rPr>
        <w:t xml:space="preserve"> de 2021. No todas las muestras ni las intervenciones se harán en la misma fecha, dado que se respetan las agendas de cada sitio, por lo que habrá diferentes acciones y exposiciones en distintos países durante ese período. Asimismo, BIENALSUR busca promover la simultaneidad entre sedes de un mismo eje curatorial.</w:t>
      </w:r>
    </w:p>
    <w:p w14:paraId="00000018" w14:textId="77777777" w:rsidR="00A30F84" w:rsidRPr="00E83672" w:rsidRDefault="00CE7FD1">
      <w:pPr>
        <w:jc w:val="both"/>
        <w:rPr>
          <w:rFonts w:asciiTheme="majorHAnsi" w:hAnsiTheme="majorHAnsi" w:cstheme="majorHAnsi"/>
          <w:b/>
          <w:sz w:val="24"/>
          <w:szCs w:val="24"/>
        </w:rPr>
      </w:pPr>
      <w:r w:rsidRPr="00E83672">
        <w:rPr>
          <w:rFonts w:asciiTheme="majorHAnsi" w:hAnsiTheme="majorHAnsi" w:cstheme="majorHAnsi"/>
          <w:b/>
          <w:sz w:val="24"/>
          <w:szCs w:val="24"/>
        </w:rPr>
        <w:t>¿Desde y hasta cuándo se pueden presentar los proyectos para la próxima edición de BIENAUSUR?</w:t>
      </w:r>
    </w:p>
    <w:p w14:paraId="00000019" w14:textId="7E2E3CC9" w:rsidR="00A30F84" w:rsidRPr="00E83672" w:rsidRDefault="00CE7FD1">
      <w:pPr>
        <w:jc w:val="both"/>
        <w:rPr>
          <w:rFonts w:asciiTheme="majorHAnsi" w:hAnsiTheme="majorHAnsi" w:cstheme="majorHAnsi"/>
          <w:sz w:val="24"/>
          <w:szCs w:val="24"/>
        </w:rPr>
      </w:pPr>
      <w:r w:rsidRPr="00E83672">
        <w:rPr>
          <w:rFonts w:asciiTheme="majorHAnsi" w:hAnsiTheme="majorHAnsi" w:cstheme="majorHAnsi"/>
          <w:sz w:val="24"/>
          <w:szCs w:val="24"/>
        </w:rPr>
        <w:t xml:space="preserve">Desde el 15 de febrero y hasta el </w:t>
      </w:r>
      <w:r w:rsidR="00471B04">
        <w:rPr>
          <w:rFonts w:asciiTheme="majorHAnsi" w:hAnsiTheme="majorHAnsi" w:cstheme="majorHAnsi"/>
          <w:sz w:val="24"/>
          <w:szCs w:val="24"/>
        </w:rPr>
        <w:t xml:space="preserve">15 de junio </w:t>
      </w:r>
      <w:r w:rsidRPr="00E83672">
        <w:rPr>
          <w:rFonts w:asciiTheme="majorHAnsi" w:hAnsiTheme="majorHAnsi" w:cstheme="majorHAnsi"/>
          <w:sz w:val="24"/>
          <w:szCs w:val="24"/>
        </w:rPr>
        <w:t>de 2020.</w:t>
      </w:r>
    </w:p>
    <w:p w14:paraId="0000001A" w14:textId="77777777" w:rsidR="00A30F84" w:rsidRPr="00E83672" w:rsidRDefault="00CE7FD1">
      <w:pPr>
        <w:jc w:val="both"/>
        <w:rPr>
          <w:rFonts w:asciiTheme="majorHAnsi" w:hAnsiTheme="majorHAnsi" w:cstheme="majorHAnsi"/>
          <w:b/>
          <w:sz w:val="24"/>
          <w:szCs w:val="24"/>
        </w:rPr>
      </w:pPr>
      <w:r w:rsidRPr="00E83672">
        <w:rPr>
          <w:rFonts w:asciiTheme="majorHAnsi" w:hAnsiTheme="majorHAnsi" w:cstheme="majorHAnsi"/>
          <w:b/>
          <w:sz w:val="24"/>
          <w:szCs w:val="24"/>
        </w:rPr>
        <w:t>¿Cómo participar de la convocatoria?</w:t>
      </w:r>
    </w:p>
    <w:p w14:paraId="0000001B" w14:textId="422086AE" w:rsidR="00A30F84" w:rsidRPr="00E83672" w:rsidRDefault="00CE7FD1">
      <w:pPr>
        <w:jc w:val="both"/>
        <w:rPr>
          <w:rFonts w:asciiTheme="majorHAnsi" w:hAnsiTheme="majorHAnsi" w:cstheme="majorHAnsi"/>
          <w:sz w:val="24"/>
          <w:szCs w:val="24"/>
          <w:highlight w:val="green"/>
        </w:rPr>
      </w:pPr>
      <w:r w:rsidRPr="00E83672">
        <w:rPr>
          <w:rFonts w:asciiTheme="majorHAnsi" w:hAnsiTheme="majorHAnsi" w:cstheme="majorHAnsi"/>
          <w:sz w:val="24"/>
          <w:szCs w:val="24"/>
        </w:rPr>
        <w:t>La única forma de inscripción a la convocatoria es a través de la página web de BIENALSUR (en la sección de convocatoria</w:t>
      </w:r>
      <w:r w:rsidR="00F01E82" w:rsidRPr="00E83672">
        <w:rPr>
          <w:rFonts w:asciiTheme="majorHAnsi" w:hAnsiTheme="majorHAnsi" w:cstheme="majorHAnsi"/>
          <w:sz w:val="24"/>
          <w:szCs w:val="24"/>
        </w:rPr>
        <w:t>.</w:t>
      </w:r>
      <w:r w:rsidRPr="00E83672">
        <w:rPr>
          <w:rFonts w:asciiTheme="majorHAnsi" w:hAnsiTheme="majorHAnsi" w:cstheme="majorHAnsi"/>
          <w:sz w:val="24"/>
          <w:szCs w:val="24"/>
        </w:rPr>
        <w:t xml:space="preserve"> </w:t>
      </w:r>
    </w:p>
    <w:p w14:paraId="0000001C" w14:textId="77777777" w:rsidR="00A30F84" w:rsidRPr="00E83672" w:rsidRDefault="00CE7FD1">
      <w:pPr>
        <w:jc w:val="both"/>
        <w:rPr>
          <w:rFonts w:asciiTheme="majorHAnsi" w:hAnsiTheme="majorHAnsi" w:cstheme="majorHAnsi"/>
          <w:b/>
          <w:sz w:val="24"/>
          <w:szCs w:val="24"/>
        </w:rPr>
      </w:pPr>
      <w:r w:rsidRPr="00E83672">
        <w:rPr>
          <w:rFonts w:asciiTheme="majorHAnsi" w:hAnsiTheme="majorHAnsi" w:cstheme="majorHAnsi"/>
          <w:b/>
          <w:sz w:val="24"/>
          <w:szCs w:val="24"/>
        </w:rPr>
        <w:t>¿Qué detalles se deben incluir en la</w:t>
      </w:r>
      <w:r w:rsidRPr="00E83672">
        <w:rPr>
          <w:rFonts w:asciiTheme="majorHAnsi" w:hAnsiTheme="majorHAnsi" w:cstheme="majorHAnsi"/>
          <w:b/>
          <w:i/>
          <w:sz w:val="24"/>
          <w:szCs w:val="24"/>
        </w:rPr>
        <w:t xml:space="preserve"> síntesis del proyecto</w:t>
      </w:r>
      <w:r w:rsidRPr="00E83672">
        <w:rPr>
          <w:rFonts w:asciiTheme="majorHAnsi" w:hAnsiTheme="majorHAnsi" w:cstheme="majorHAnsi"/>
          <w:b/>
          <w:sz w:val="24"/>
          <w:szCs w:val="24"/>
        </w:rPr>
        <w:t xml:space="preserve"> dentro de la ficha de inscripción?</w:t>
      </w:r>
    </w:p>
    <w:p w14:paraId="0000001D" w14:textId="77777777" w:rsidR="00A30F84" w:rsidRPr="00E83672" w:rsidRDefault="00CE7FD1">
      <w:pPr>
        <w:jc w:val="both"/>
        <w:rPr>
          <w:rFonts w:asciiTheme="majorHAnsi" w:hAnsiTheme="majorHAnsi" w:cstheme="majorHAnsi"/>
          <w:sz w:val="24"/>
          <w:szCs w:val="24"/>
        </w:rPr>
      </w:pPr>
      <w:r w:rsidRPr="00E83672">
        <w:rPr>
          <w:rFonts w:asciiTheme="majorHAnsi" w:hAnsiTheme="majorHAnsi" w:cstheme="majorHAnsi"/>
          <w:sz w:val="24"/>
          <w:szCs w:val="24"/>
        </w:rPr>
        <w:t xml:space="preserve">Se debe detallar la materialidad de la obra (fotografía, video, pintura, etc.) con el máximo de información posible (medidas, soporte, detalles de montaje). Sugerimos que se incluya imágenes de la obra o proyecto curatorial describiendo el concepto de la propuesta. En el caso de videos aún no realizados recomendamos que envíen un </w:t>
      </w:r>
      <w:proofErr w:type="spellStart"/>
      <w:r w:rsidRPr="00E83672">
        <w:rPr>
          <w:rFonts w:asciiTheme="majorHAnsi" w:hAnsiTheme="majorHAnsi" w:cstheme="majorHAnsi"/>
          <w:sz w:val="24"/>
          <w:szCs w:val="24"/>
        </w:rPr>
        <w:t>storyboard</w:t>
      </w:r>
      <w:proofErr w:type="spellEnd"/>
      <w:r w:rsidRPr="00E83672">
        <w:rPr>
          <w:rFonts w:asciiTheme="majorHAnsi" w:hAnsiTheme="majorHAnsi" w:cstheme="majorHAnsi"/>
          <w:sz w:val="24"/>
          <w:szCs w:val="24"/>
        </w:rPr>
        <w:t xml:space="preserve"> y videos realizados con anterioridad.</w:t>
      </w:r>
    </w:p>
    <w:p w14:paraId="0000001E" w14:textId="77777777" w:rsidR="00A30F84" w:rsidRPr="00E83672" w:rsidRDefault="00CE7FD1">
      <w:pPr>
        <w:jc w:val="both"/>
        <w:rPr>
          <w:rFonts w:asciiTheme="majorHAnsi" w:hAnsiTheme="majorHAnsi" w:cstheme="majorHAnsi"/>
          <w:b/>
          <w:sz w:val="24"/>
          <w:szCs w:val="24"/>
        </w:rPr>
      </w:pPr>
      <w:r w:rsidRPr="00E83672">
        <w:rPr>
          <w:rFonts w:asciiTheme="majorHAnsi" w:hAnsiTheme="majorHAnsi" w:cstheme="majorHAnsi"/>
          <w:b/>
          <w:sz w:val="24"/>
          <w:szCs w:val="24"/>
        </w:rPr>
        <w:t>¿Hay alguna condición para artistas que se presentan?</w:t>
      </w:r>
    </w:p>
    <w:p w14:paraId="0000001F" w14:textId="77777777" w:rsidR="00A30F84" w:rsidRPr="00E83672" w:rsidRDefault="00CE7FD1">
      <w:pPr>
        <w:jc w:val="both"/>
        <w:rPr>
          <w:rFonts w:asciiTheme="majorHAnsi" w:hAnsiTheme="majorHAnsi" w:cstheme="majorHAnsi"/>
          <w:sz w:val="24"/>
          <w:szCs w:val="24"/>
        </w:rPr>
      </w:pPr>
      <w:r w:rsidRPr="00E83672">
        <w:rPr>
          <w:rFonts w:asciiTheme="majorHAnsi" w:hAnsiTheme="majorHAnsi" w:cstheme="majorHAnsi"/>
          <w:sz w:val="24"/>
          <w:szCs w:val="24"/>
        </w:rPr>
        <w:t>No, no hay límite de edad, nacionalidad, ni se solicita CV. BIENALSUR es la oportunidad para poner en común y difundir las distintas corrientes del arte contemporáneo.</w:t>
      </w:r>
    </w:p>
    <w:p w14:paraId="00000020" w14:textId="77777777" w:rsidR="00A30F84" w:rsidRPr="00E83672" w:rsidRDefault="00CE7FD1">
      <w:pPr>
        <w:jc w:val="both"/>
        <w:rPr>
          <w:rFonts w:asciiTheme="majorHAnsi" w:hAnsiTheme="majorHAnsi" w:cstheme="majorHAnsi"/>
          <w:b/>
          <w:sz w:val="24"/>
          <w:szCs w:val="24"/>
        </w:rPr>
      </w:pPr>
      <w:r w:rsidRPr="00E83672">
        <w:rPr>
          <w:rFonts w:asciiTheme="majorHAnsi" w:hAnsiTheme="majorHAnsi" w:cstheme="majorHAnsi"/>
          <w:b/>
          <w:sz w:val="24"/>
          <w:szCs w:val="24"/>
        </w:rPr>
        <w:t>¿El proyecto debe ser inédito?</w:t>
      </w:r>
    </w:p>
    <w:p w14:paraId="00000022" w14:textId="6F3D1FED" w:rsidR="00A30F84" w:rsidRPr="00E83672" w:rsidRDefault="00CE7FD1">
      <w:pPr>
        <w:jc w:val="both"/>
        <w:rPr>
          <w:rFonts w:asciiTheme="majorHAnsi" w:hAnsiTheme="majorHAnsi" w:cstheme="majorHAnsi"/>
          <w:sz w:val="24"/>
          <w:szCs w:val="24"/>
        </w:rPr>
      </w:pPr>
      <w:r w:rsidRPr="00E83672">
        <w:rPr>
          <w:rFonts w:asciiTheme="majorHAnsi" w:hAnsiTheme="majorHAnsi" w:cstheme="majorHAnsi"/>
          <w:sz w:val="24"/>
          <w:szCs w:val="24"/>
        </w:rPr>
        <w:t>Si bien la convocatoria aspira a reunir proyectos originales e inéditos para ser eventualmente integrados dentro del plan de acción de BIENALSUR, podrán ser presentados proyectos que ya fueron realizados en otros sitios, con adecuaciones al territorio, comunidad o sitio en donde se re localicen. Asimismo, en caso de existir una versión anterior, en la presentación se debe indicar claramente dónde y cuándo fue realizada.</w:t>
      </w:r>
    </w:p>
    <w:p w14:paraId="00000023" w14:textId="77777777" w:rsidR="00A30F84" w:rsidRPr="00E83672" w:rsidRDefault="00CE7FD1">
      <w:pPr>
        <w:jc w:val="both"/>
        <w:rPr>
          <w:rFonts w:asciiTheme="majorHAnsi" w:hAnsiTheme="majorHAnsi" w:cstheme="majorHAnsi"/>
          <w:b/>
          <w:sz w:val="24"/>
          <w:szCs w:val="24"/>
        </w:rPr>
      </w:pPr>
      <w:r w:rsidRPr="00E83672">
        <w:rPr>
          <w:rFonts w:asciiTheme="majorHAnsi" w:hAnsiTheme="majorHAnsi" w:cstheme="majorHAnsi"/>
          <w:b/>
          <w:sz w:val="24"/>
          <w:szCs w:val="24"/>
        </w:rPr>
        <w:t>¿Qué disciplinas se contemplan?</w:t>
      </w:r>
    </w:p>
    <w:p w14:paraId="00000024" w14:textId="77777777" w:rsidR="00A30F84" w:rsidRPr="00E83672" w:rsidRDefault="00CE7FD1">
      <w:pPr>
        <w:jc w:val="both"/>
        <w:rPr>
          <w:rFonts w:asciiTheme="majorHAnsi" w:hAnsiTheme="majorHAnsi" w:cstheme="majorHAnsi"/>
          <w:sz w:val="24"/>
          <w:szCs w:val="24"/>
        </w:rPr>
      </w:pPr>
      <w:r w:rsidRPr="00E83672">
        <w:rPr>
          <w:rFonts w:asciiTheme="majorHAnsi" w:hAnsiTheme="majorHAnsi" w:cstheme="majorHAnsi"/>
          <w:sz w:val="24"/>
          <w:szCs w:val="24"/>
        </w:rPr>
        <w:t>Todas las correspondientes a las artes visuales, incluso las intersecciones que se producen entre distintas disciplinas.</w:t>
      </w:r>
    </w:p>
    <w:p w14:paraId="00000025" w14:textId="77777777" w:rsidR="00A30F84" w:rsidRPr="00E83672" w:rsidRDefault="00CE7FD1">
      <w:pPr>
        <w:jc w:val="both"/>
        <w:rPr>
          <w:rFonts w:asciiTheme="majorHAnsi" w:hAnsiTheme="majorHAnsi" w:cstheme="majorHAnsi"/>
          <w:b/>
          <w:sz w:val="24"/>
          <w:szCs w:val="24"/>
        </w:rPr>
      </w:pPr>
      <w:r w:rsidRPr="00E83672">
        <w:rPr>
          <w:rFonts w:asciiTheme="majorHAnsi" w:hAnsiTheme="majorHAnsi" w:cstheme="majorHAnsi"/>
          <w:b/>
          <w:sz w:val="24"/>
          <w:szCs w:val="24"/>
        </w:rPr>
        <w:lastRenderedPageBreak/>
        <w:t>¿Dónde se puede radicar el proyecto?</w:t>
      </w:r>
    </w:p>
    <w:p w14:paraId="00000026" w14:textId="77777777" w:rsidR="00A30F84" w:rsidRPr="00E83672" w:rsidRDefault="00CE7FD1">
      <w:pPr>
        <w:jc w:val="both"/>
        <w:rPr>
          <w:rFonts w:asciiTheme="majorHAnsi" w:hAnsiTheme="majorHAnsi" w:cstheme="majorHAnsi"/>
          <w:sz w:val="24"/>
          <w:szCs w:val="24"/>
        </w:rPr>
      </w:pPr>
      <w:r w:rsidRPr="00E83672">
        <w:rPr>
          <w:rFonts w:asciiTheme="majorHAnsi" w:hAnsiTheme="majorHAnsi" w:cstheme="majorHAnsi"/>
          <w:sz w:val="24"/>
          <w:szCs w:val="24"/>
        </w:rPr>
        <w:t>Dado el carácter del proceso que lleva adelante BIENALSUR y la lógica de red sobre la que avanza, cualquier sede o espacio puede convertirse en un lugar para radicar el proyecto, ya se trate de un espacio formal de exposiciones, como por ejemplo un centro cultural, o alternativo como el espacio público o virtual (plataformas digitales). En la medida en que el proyecto sea preseleccionado, la organización de BIENALSUR comenzará las gestiones necesarias para evaluar su viabilidad.</w:t>
      </w:r>
    </w:p>
    <w:p w14:paraId="00000027" w14:textId="77777777" w:rsidR="00A30F84" w:rsidRPr="00E83672" w:rsidRDefault="00CE7FD1">
      <w:pPr>
        <w:jc w:val="both"/>
        <w:rPr>
          <w:rFonts w:asciiTheme="majorHAnsi" w:hAnsiTheme="majorHAnsi" w:cstheme="majorHAnsi"/>
          <w:b/>
          <w:sz w:val="24"/>
          <w:szCs w:val="24"/>
        </w:rPr>
      </w:pPr>
      <w:r w:rsidRPr="00E83672">
        <w:rPr>
          <w:rFonts w:asciiTheme="majorHAnsi" w:hAnsiTheme="majorHAnsi" w:cstheme="majorHAnsi"/>
          <w:b/>
          <w:sz w:val="24"/>
          <w:szCs w:val="24"/>
        </w:rPr>
        <w:t>¿Se aceptan proyectos itinerantes o en diversas localizaciones en forma simultánea?</w:t>
      </w:r>
    </w:p>
    <w:p w14:paraId="00000028" w14:textId="77777777" w:rsidR="00A30F84" w:rsidRPr="00E83672" w:rsidRDefault="00CE7FD1">
      <w:pPr>
        <w:jc w:val="both"/>
        <w:rPr>
          <w:rFonts w:asciiTheme="majorHAnsi" w:hAnsiTheme="majorHAnsi" w:cstheme="majorHAnsi"/>
          <w:sz w:val="24"/>
          <w:szCs w:val="24"/>
        </w:rPr>
      </w:pPr>
      <w:r w:rsidRPr="00E83672">
        <w:rPr>
          <w:rFonts w:asciiTheme="majorHAnsi" w:hAnsiTheme="majorHAnsi" w:cstheme="majorHAnsi"/>
          <w:sz w:val="24"/>
          <w:szCs w:val="24"/>
        </w:rPr>
        <w:t>Sí.</w:t>
      </w:r>
    </w:p>
    <w:p w14:paraId="00000029" w14:textId="77777777" w:rsidR="00A30F84" w:rsidRPr="00E83672" w:rsidRDefault="00CE7FD1">
      <w:pPr>
        <w:jc w:val="both"/>
        <w:rPr>
          <w:rFonts w:asciiTheme="majorHAnsi" w:hAnsiTheme="majorHAnsi" w:cstheme="majorHAnsi"/>
          <w:b/>
          <w:sz w:val="24"/>
          <w:szCs w:val="24"/>
        </w:rPr>
      </w:pPr>
      <w:r w:rsidRPr="00E83672">
        <w:rPr>
          <w:rFonts w:asciiTheme="majorHAnsi" w:hAnsiTheme="majorHAnsi" w:cstheme="majorHAnsi"/>
          <w:b/>
          <w:sz w:val="24"/>
          <w:szCs w:val="24"/>
        </w:rPr>
        <w:t>¿En caso de proponer un proyecto para un espacio, ya sea público o privado, con qué tipo de permisos debo contar?</w:t>
      </w:r>
    </w:p>
    <w:p w14:paraId="0000002A" w14:textId="77777777" w:rsidR="00A30F84" w:rsidRPr="00E83672" w:rsidRDefault="00CE7FD1">
      <w:pPr>
        <w:jc w:val="both"/>
        <w:rPr>
          <w:rFonts w:asciiTheme="majorHAnsi" w:hAnsiTheme="majorHAnsi" w:cstheme="majorHAnsi"/>
          <w:sz w:val="24"/>
          <w:szCs w:val="24"/>
        </w:rPr>
      </w:pPr>
      <w:r w:rsidRPr="00E83672">
        <w:rPr>
          <w:rFonts w:asciiTheme="majorHAnsi" w:hAnsiTheme="majorHAnsi" w:cstheme="majorHAnsi"/>
          <w:sz w:val="24"/>
          <w:szCs w:val="24"/>
        </w:rPr>
        <w:t>Para aplicar a la convocatoria no es necesario contar con permisos. En caso de pre-selección del proyecto será necesario tramitarlos. BIENALSUR será un agente facilitador de esos trámites.</w:t>
      </w:r>
    </w:p>
    <w:p w14:paraId="0000002B" w14:textId="77777777" w:rsidR="00A30F84" w:rsidRPr="00E83672" w:rsidRDefault="00CE7FD1">
      <w:pPr>
        <w:jc w:val="both"/>
        <w:rPr>
          <w:rFonts w:asciiTheme="majorHAnsi" w:hAnsiTheme="majorHAnsi" w:cstheme="majorHAnsi"/>
          <w:b/>
          <w:sz w:val="24"/>
          <w:szCs w:val="24"/>
        </w:rPr>
      </w:pPr>
      <w:r w:rsidRPr="00E83672">
        <w:rPr>
          <w:rFonts w:asciiTheme="majorHAnsi" w:hAnsiTheme="majorHAnsi" w:cstheme="majorHAnsi"/>
          <w:b/>
          <w:sz w:val="24"/>
          <w:szCs w:val="24"/>
        </w:rPr>
        <w:t>¿El tema es libre?</w:t>
      </w:r>
    </w:p>
    <w:p w14:paraId="0000002C" w14:textId="77777777" w:rsidR="00A30F84" w:rsidRPr="00E83672" w:rsidRDefault="00CE7FD1">
      <w:pPr>
        <w:jc w:val="both"/>
        <w:rPr>
          <w:rFonts w:asciiTheme="majorHAnsi" w:hAnsiTheme="majorHAnsi" w:cstheme="majorHAnsi"/>
          <w:sz w:val="24"/>
          <w:szCs w:val="24"/>
        </w:rPr>
      </w:pPr>
      <w:r w:rsidRPr="00E83672">
        <w:rPr>
          <w:rFonts w:asciiTheme="majorHAnsi" w:hAnsiTheme="majorHAnsi" w:cstheme="majorHAnsi"/>
          <w:sz w:val="24"/>
          <w:szCs w:val="24"/>
        </w:rPr>
        <w:t>La convocatoria es totalmente libre, sin un tema preestablecido en busca de identificar las agendas activas en cada sitio. El principal criterio de selección es la calidad y originalidad de la propuesta. A partir del análisis de los proyectos recibidos el Consejo de Curaduría identifica los ejes curatoriales que integran cada edición de BIENALSUR. Asimismo, a partir de la convergencia temática los proyectos serán integrados en curadurías a radicarse en los distintos espacios del mapa BIENALSUR.</w:t>
      </w:r>
    </w:p>
    <w:p w14:paraId="0000002D" w14:textId="77777777" w:rsidR="00A30F84" w:rsidRPr="00E83672" w:rsidRDefault="00CE7FD1">
      <w:pPr>
        <w:jc w:val="both"/>
        <w:rPr>
          <w:rFonts w:asciiTheme="majorHAnsi" w:hAnsiTheme="majorHAnsi" w:cstheme="majorHAnsi"/>
          <w:b/>
          <w:sz w:val="24"/>
          <w:szCs w:val="24"/>
        </w:rPr>
      </w:pPr>
      <w:r w:rsidRPr="00E83672">
        <w:rPr>
          <w:rFonts w:asciiTheme="majorHAnsi" w:hAnsiTheme="majorHAnsi" w:cstheme="majorHAnsi"/>
          <w:b/>
          <w:sz w:val="24"/>
          <w:szCs w:val="24"/>
        </w:rPr>
        <w:t>¿Es necesario presentar un presupuesto?</w:t>
      </w:r>
    </w:p>
    <w:p w14:paraId="0000002E" w14:textId="77777777" w:rsidR="00A30F84" w:rsidRPr="00E83672" w:rsidRDefault="00CE7FD1">
      <w:pPr>
        <w:jc w:val="both"/>
        <w:rPr>
          <w:rFonts w:asciiTheme="majorHAnsi" w:hAnsiTheme="majorHAnsi" w:cstheme="majorHAnsi"/>
          <w:sz w:val="24"/>
          <w:szCs w:val="24"/>
        </w:rPr>
      </w:pPr>
      <w:r w:rsidRPr="00E83672">
        <w:rPr>
          <w:rFonts w:asciiTheme="majorHAnsi" w:hAnsiTheme="majorHAnsi" w:cstheme="majorHAnsi"/>
          <w:sz w:val="24"/>
          <w:szCs w:val="24"/>
        </w:rPr>
        <w:t>No es necesario presentar un presupuesto en la convocatoria, pero sí se requerirá en caso de ser pre-seleccionado.</w:t>
      </w:r>
    </w:p>
    <w:p w14:paraId="0000002F" w14:textId="77777777" w:rsidR="00A30F84" w:rsidRPr="00E83672" w:rsidRDefault="00CE7FD1">
      <w:pPr>
        <w:jc w:val="both"/>
        <w:rPr>
          <w:rFonts w:asciiTheme="majorHAnsi" w:hAnsiTheme="majorHAnsi" w:cstheme="majorHAnsi"/>
          <w:b/>
          <w:sz w:val="24"/>
          <w:szCs w:val="24"/>
        </w:rPr>
      </w:pPr>
      <w:r w:rsidRPr="00E83672">
        <w:rPr>
          <w:rFonts w:asciiTheme="majorHAnsi" w:hAnsiTheme="majorHAnsi" w:cstheme="majorHAnsi"/>
          <w:b/>
          <w:sz w:val="24"/>
          <w:szCs w:val="24"/>
        </w:rPr>
        <w:t>¿Qué tipo de proyectos se aceptan?</w:t>
      </w:r>
    </w:p>
    <w:p w14:paraId="00000030" w14:textId="77777777" w:rsidR="00A30F84" w:rsidRPr="00E83672" w:rsidRDefault="00CE7FD1">
      <w:pPr>
        <w:jc w:val="both"/>
        <w:rPr>
          <w:rFonts w:asciiTheme="majorHAnsi" w:hAnsiTheme="majorHAnsi" w:cstheme="majorHAnsi"/>
          <w:sz w:val="24"/>
          <w:szCs w:val="24"/>
        </w:rPr>
      </w:pPr>
      <w:r w:rsidRPr="00E83672">
        <w:rPr>
          <w:rFonts w:asciiTheme="majorHAnsi" w:hAnsiTheme="majorHAnsi" w:cstheme="majorHAnsi"/>
          <w:sz w:val="24"/>
          <w:szCs w:val="24"/>
        </w:rPr>
        <w:t>Todo tipo de proyectos de artes visuales. Se pueden incluir obras en los más diversos formatos, desde intervenciones en un espacio específico hasta muestras en soportes más convencionales, como pintura, fotografía, escultura, dibujo, videos, instalaciones performance, cine, música, video etc.</w:t>
      </w:r>
    </w:p>
    <w:p w14:paraId="00000031" w14:textId="77777777" w:rsidR="00A30F84" w:rsidRPr="00E83672" w:rsidRDefault="00CE7FD1">
      <w:pPr>
        <w:jc w:val="both"/>
        <w:rPr>
          <w:rFonts w:asciiTheme="majorHAnsi" w:hAnsiTheme="majorHAnsi" w:cstheme="majorHAnsi"/>
          <w:b/>
          <w:sz w:val="24"/>
          <w:szCs w:val="24"/>
        </w:rPr>
      </w:pPr>
      <w:r w:rsidRPr="00E83672">
        <w:rPr>
          <w:rFonts w:asciiTheme="majorHAnsi" w:hAnsiTheme="majorHAnsi" w:cstheme="majorHAnsi"/>
          <w:b/>
          <w:sz w:val="24"/>
          <w:szCs w:val="24"/>
        </w:rPr>
        <w:t>¿Si ya fui seleccionado en la edición anterior de BIENALSUR, puedo presentar otro proyecto para la próxima edición?</w:t>
      </w:r>
    </w:p>
    <w:p w14:paraId="00000032" w14:textId="77777777" w:rsidR="00A30F84" w:rsidRPr="00E83672" w:rsidRDefault="00CE7FD1">
      <w:pPr>
        <w:jc w:val="both"/>
        <w:rPr>
          <w:rFonts w:asciiTheme="majorHAnsi" w:hAnsiTheme="majorHAnsi" w:cstheme="majorHAnsi"/>
          <w:sz w:val="24"/>
          <w:szCs w:val="24"/>
        </w:rPr>
      </w:pPr>
      <w:r w:rsidRPr="00E83672">
        <w:rPr>
          <w:rFonts w:asciiTheme="majorHAnsi" w:hAnsiTheme="majorHAnsi" w:cstheme="majorHAnsi"/>
          <w:sz w:val="24"/>
          <w:szCs w:val="24"/>
        </w:rPr>
        <w:t>Sí.</w:t>
      </w:r>
    </w:p>
    <w:p w14:paraId="00000033" w14:textId="77777777" w:rsidR="00A30F84" w:rsidRPr="00E83672" w:rsidRDefault="00CE7FD1">
      <w:pPr>
        <w:jc w:val="both"/>
        <w:rPr>
          <w:rFonts w:asciiTheme="majorHAnsi" w:hAnsiTheme="majorHAnsi" w:cstheme="majorHAnsi"/>
          <w:b/>
          <w:sz w:val="24"/>
          <w:szCs w:val="24"/>
        </w:rPr>
      </w:pPr>
      <w:r w:rsidRPr="00E83672">
        <w:rPr>
          <w:rFonts w:asciiTheme="majorHAnsi" w:hAnsiTheme="majorHAnsi" w:cstheme="majorHAnsi"/>
          <w:b/>
          <w:sz w:val="24"/>
          <w:szCs w:val="24"/>
        </w:rPr>
        <w:lastRenderedPageBreak/>
        <w:t>¿Puedo presentar más de un proyecto?</w:t>
      </w:r>
    </w:p>
    <w:p w14:paraId="00000034" w14:textId="77777777" w:rsidR="00A30F84" w:rsidRPr="00E83672" w:rsidRDefault="00CE7FD1">
      <w:pPr>
        <w:jc w:val="both"/>
        <w:rPr>
          <w:rFonts w:asciiTheme="majorHAnsi" w:hAnsiTheme="majorHAnsi" w:cstheme="majorHAnsi"/>
          <w:sz w:val="24"/>
          <w:szCs w:val="24"/>
        </w:rPr>
      </w:pPr>
      <w:r w:rsidRPr="00E83672">
        <w:rPr>
          <w:rFonts w:asciiTheme="majorHAnsi" w:hAnsiTheme="majorHAnsi" w:cstheme="majorHAnsi"/>
          <w:sz w:val="24"/>
          <w:szCs w:val="24"/>
        </w:rPr>
        <w:t xml:space="preserve">No. Solo se acepta un proyecto por postulante. En caso de presentarse con un proyecto grupal, también se puede aplicar con una propuesta individual. </w:t>
      </w:r>
    </w:p>
    <w:p w14:paraId="00000035" w14:textId="77777777" w:rsidR="00A30F84" w:rsidRPr="00E83672" w:rsidRDefault="00CE7FD1">
      <w:pPr>
        <w:jc w:val="both"/>
        <w:rPr>
          <w:rFonts w:asciiTheme="majorHAnsi" w:hAnsiTheme="majorHAnsi" w:cstheme="majorHAnsi"/>
          <w:b/>
          <w:sz w:val="24"/>
          <w:szCs w:val="24"/>
        </w:rPr>
      </w:pPr>
      <w:r w:rsidRPr="00E83672">
        <w:rPr>
          <w:rFonts w:asciiTheme="majorHAnsi" w:hAnsiTheme="majorHAnsi" w:cstheme="majorHAnsi"/>
          <w:b/>
          <w:sz w:val="24"/>
          <w:szCs w:val="24"/>
        </w:rPr>
        <w:t>¿Cuándo se sabrá el resultado de los proyectos pre-seleccionados?</w:t>
      </w:r>
    </w:p>
    <w:p w14:paraId="00000036" w14:textId="2E8B318E" w:rsidR="00A30F84" w:rsidRPr="00E83672" w:rsidRDefault="00CE7FD1">
      <w:pPr>
        <w:jc w:val="both"/>
        <w:rPr>
          <w:rFonts w:asciiTheme="majorHAnsi" w:hAnsiTheme="majorHAnsi" w:cstheme="majorHAnsi"/>
          <w:sz w:val="24"/>
          <w:szCs w:val="24"/>
        </w:rPr>
      </w:pPr>
      <w:r w:rsidRPr="00E83672">
        <w:rPr>
          <w:rFonts w:asciiTheme="majorHAnsi" w:hAnsiTheme="majorHAnsi" w:cstheme="majorHAnsi"/>
          <w:sz w:val="24"/>
          <w:szCs w:val="24"/>
        </w:rPr>
        <w:t xml:space="preserve">El anuncio de los pre-seleccionados será a partir de </w:t>
      </w:r>
      <w:r w:rsidR="00471B04">
        <w:rPr>
          <w:rFonts w:asciiTheme="majorHAnsi" w:hAnsiTheme="majorHAnsi" w:cstheme="majorHAnsi"/>
          <w:sz w:val="24"/>
          <w:szCs w:val="24"/>
        </w:rPr>
        <w:t>agosto d</w:t>
      </w:r>
      <w:bookmarkStart w:id="0" w:name="_GoBack"/>
      <w:bookmarkEnd w:id="0"/>
      <w:r w:rsidRPr="00E83672">
        <w:rPr>
          <w:rFonts w:asciiTheme="majorHAnsi" w:hAnsiTheme="majorHAnsi" w:cstheme="majorHAnsi"/>
          <w:sz w:val="24"/>
          <w:szCs w:val="24"/>
        </w:rPr>
        <w:t>e 2020.</w:t>
      </w:r>
    </w:p>
    <w:p w14:paraId="00000037" w14:textId="77777777" w:rsidR="00A30F84" w:rsidRPr="00E83672" w:rsidRDefault="00CE7FD1">
      <w:pPr>
        <w:jc w:val="both"/>
        <w:rPr>
          <w:rFonts w:asciiTheme="majorHAnsi" w:hAnsiTheme="majorHAnsi" w:cstheme="majorHAnsi"/>
          <w:b/>
          <w:sz w:val="24"/>
          <w:szCs w:val="24"/>
        </w:rPr>
      </w:pPr>
      <w:r w:rsidRPr="00E83672">
        <w:rPr>
          <w:rFonts w:asciiTheme="majorHAnsi" w:hAnsiTheme="majorHAnsi" w:cstheme="majorHAnsi"/>
          <w:b/>
          <w:sz w:val="24"/>
          <w:szCs w:val="24"/>
        </w:rPr>
        <w:t xml:space="preserve">¿Qué implica haber sido pre-seleccionado? </w:t>
      </w:r>
    </w:p>
    <w:p w14:paraId="00000038" w14:textId="77777777" w:rsidR="00A30F84" w:rsidRPr="00E83672" w:rsidRDefault="00CE7FD1">
      <w:pPr>
        <w:jc w:val="both"/>
        <w:rPr>
          <w:rFonts w:asciiTheme="majorHAnsi" w:hAnsiTheme="majorHAnsi" w:cstheme="majorHAnsi"/>
          <w:sz w:val="24"/>
          <w:szCs w:val="24"/>
        </w:rPr>
      </w:pPr>
      <w:r w:rsidRPr="00E83672">
        <w:rPr>
          <w:rFonts w:asciiTheme="majorHAnsi" w:hAnsiTheme="majorHAnsi" w:cstheme="majorHAnsi"/>
          <w:sz w:val="24"/>
          <w:szCs w:val="24"/>
        </w:rPr>
        <w:t>Haber sido pre-seleccionado no implica automáticamente la participación en BIENALSUR sino que refleja un interés del Consejo Curatorial y la posibilidad de acceder a la segunda etapa de selección de la cual surgirán los proyectos que integrarán BIENALSUR 2021.</w:t>
      </w:r>
    </w:p>
    <w:p w14:paraId="00000039" w14:textId="77777777" w:rsidR="00A30F84" w:rsidRPr="00E83672" w:rsidRDefault="00CE7FD1">
      <w:pPr>
        <w:jc w:val="both"/>
        <w:rPr>
          <w:rFonts w:asciiTheme="majorHAnsi" w:hAnsiTheme="majorHAnsi" w:cstheme="majorHAnsi"/>
          <w:b/>
          <w:sz w:val="24"/>
          <w:szCs w:val="24"/>
        </w:rPr>
      </w:pPr>
      <w:r w:rsidRPr="00E83672">
        <w:rPr>
          <w:rFonts w:asciiTheme="majorHAnsi" w:hAnsiTheme="majorHAnsi" w:cstheme="majorHAnsi"/>
          <w:b/>
          <w:sz w:val="24"/>
          <w:szCs w:val="24"/>
        </w:rPr>
        <w:t xml:space="preserve">¿En caso de ser pre-seleccionado, cuales son los pasos a seguir? </w:t>
      </w:r>
    </w:p>
    <w:p w14:paraId="0000003A" w14:textId="77777777" w:rsidR="00A30F84" w:rsidRPr="00E83672" w:rsidRDefault="00CE7FD1">
      <w:pPr>
        <w:jc w:val="both"/>
        <w:rPr>
          <w:rFonts w:asciiTheme="majorHAnsi" w:hAnsiTheme="majorHAnsi" w:cstheme="majorHAnsi"/>
        </w:rPr>
      </w:pPr>
      <w:r w:rsidRPr="00E83672">
        <w:rPr>
          <w:rFonts w:asciiTheme="majorHAnsi" w:hAnsiTheme="majorHAnsi" w:cstheme="majorHAnsi"/>
          <w:sz w:val="24"/>
          <w:szCs w:val="24"/>
        </w:rPr>
        <w:t xml:space="preserve">Una vez publicado el listado de pre-seleccionados el equipo de BIENALSUR avanzará sobre los posibles diálogos con los ejes curatoriales identificados en el presente llamado abierto internacional y la posible integración de cada proyecto en el mapa BIENALSUR. Las autoras/es de aquellos proyectos que superen esta instancia y se integren en exposiciones, acciones u otras activaciones BIENALSUR serán </w:t>
      </w:r>
      <w:proofErr w:type="gramStart"/>
      <w:r w:rsidRPr="00E83672">
        <w:rPr>
          <w:rFonts w:asciiTheme="majorHAnsi" w:hAnsiTheme="majorHAnsi" w:cstheme="majorHAnsi"/>
          <w:sz w:val="24"/>
          <w:szCs w:val="24"/>
        </w:rPr>
        <w:t>contactados</w:t>
      </w:r>
      <w:proofErr w:type="gramEnd"/>
      <w:r w:rsidRPr="00E83672">
        <w:rPr>
          <w:rFonts w:asciiTheme="majorHAnsi" w:hAnsiTheme="majorHAnsi" w:cstheme="majorHAnsi"/>
          <w:sz w:val="24"/>
          <w:szCs w:val="24"/>
        </w:rPr>
        <w:t xml:space="preserve"> por el equipo de BIENALSUR para empezar el diálogo necesario para avanzar de cara a el establecimiento de un presupuesto y otras necesidades relativas a la concreción del proyecto.   </w:t>
      </w:r>
    </w:p>
    <w:p w14:paraId="0000003E" w14:textId="77777777" w:rsidR="00A30F84" w:rsidRPr="00E83672" w:rsidRDefault="00A30F84">
      <w:pPr>
        <w:jc w:val="both"/>
        <w:rPr>
          <w:rFonts w:asciiTheme="majorHAnsi" w:hAnsiTheme="majorHAnsi" w:cstheme="majorHAnsi"/>
        </w:rPr>
      </w:pPr>
    </w:p>
    <w:sectPr w:rsidR="00A30F84" w:rsidRPr="00E83672">
      <w:headerReference w:type="default" r:id="rId7"/>
      <w:footerReference w:type="default" r:id="rId8"/>
      <w:pgSz w:w="12240" w:h="15840"/>
      <w:pgMar w:top="1133" w:right="1133" w:bottom="1133" w:left="1133"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691CC9" w14:textId="77777777" w:rsidR="00EB27BF" w:rsidRDefault="00EB27BF" w:rsidP="00E83672">
      <w:pPr>
        <w:spacing w:after="0" w:line="240" w:lineRule="auto"/>
      </w:pPr>
      <w:r>
        <w:separator/>
      </w:r>
    </w:p>
  </w:endnote>
  <w:endnote w:type="continuationSeparator" w:id="0">
    <w:p w14:paraId="7E92DDA6" w14:textId="77777777" w:rsidR="00EB27BF" w:rsidRDefault="00EB27BF" w:rsidP="00E836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EF91D3" w14:textId="649E4FC9" w:rsidR="00E83672" w:rsidRDefault="00E83672">
    <w:pPr>
      <w:pStyle w:val="Piedepgina"/>
    </w:pPr>
    <w:r>
      <w:rPr>
        <w:noProof/>
        <w:lang w:val="es-ES" w:eastAsia="es-ES"/>
      </w:rPr>
      <w:drawing>
        <wp:anchor distT="0" distB="0" distL="114300" distR="114300" simplePos="0" relativeHeight="251662336" behindDoc="1" locked="0" layoutInCell="1" allowOverlap="1" wp14:anchorId="2867AF75" wp14:editId="71AA517B">
          <wp:simplePos x="0" y="0"/>
          <wp:positionH relativeFrom="margin">
            <wp:align>left</wp:align>
          </wp:positionH>
          <wp:positionV relativeFrom="paragraph">
            <wp:posOffset>-45720</wp:posOffset>
          </wp:positionV>
          <wp:extent cx="1590675" cy="285750"/>
          <wp:effectExtent l="0" t="0" r="9525" b="0"/>
          <wp:wrapTight wrapText="bothSides">
            <wp:wrapPolygon edited="0">
              <wp:start x="0" y="0"/>
              <wp:lineTo x="0" y="20160"/>
              <wp:lineTo x="21471" y="20160"/>
              <wp:lineTo x="21471" y="0"/>
              <wp:lineTo x="0" y="0"/>
            </wp:wrapPolygon>
          </wp:wrapTight>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unnamed (1).png"/>
                  <pic:cNvPicPr/>
                </pic:nvPicPr>
                <pic:blipFill rotWithShape="1">
                  <a:blip r:embed="rId1">
                    <a:extLst>
                      <a:ext uri="{28A0092B-C50C-407E-A947-70E740481C1C}">
                        <a14:useLocalDpi xmlns:a14="http://schemas.microsoft.com/office/drawing/2010/main" val="0"/>
                      </a:ext>
                    </a:extLst>
                  </a:blip>
                  <a:srcRect l="20476" b="63414"/>
                  <a:stretch/>
                </pic:blipFill>
                <pic:spPr bwMode="auto">
                  <a:xfrm>
                    <a:off x="0" y="0"/>
                    <a:ext cx="1590675" cy="285750"/>
                  </a:xfrm>
                  <a:prstGeom prst="rect">
                    <a:avLst/>
                  </a:prstGeom>
                  <a:ln>
                    <a:noFill/>
                  </a:ln>
                  <a:extLst>
                    <a:ext uri="{53640926-AAD7-44D8-BBD7-CCE9431645EC}">
                      <a14:shadowObscured xmlns:a14="http://schemas.microsoft.com/office/drawing/2010/main"/>
                    </a:ext>
                  </a:extLst>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4D34B8" w14:textId="77777777" w:rsidR="00EB27BF" w:rsidRDefault="00EB27BF" w:rsidP="00E83672">
      <w:pPr>
        <w:spacing w:after="0" w:line="240" w:lineRule="auto"/>
      </w:pPr>
      <w:r>
        <w:separator/>
      </w:r>
    </w:p>
  </w:footnote>
  <w:footnote w:type="continuationSeparator" w:id="0">
    <w:p w14:paraId="1EE0F4CC" w14:textId="77777777" w:rsidR="00EB27BF" w:rsidRDefault="00EB27BF" w:rsidP="00E8367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B5D434" w14:textId="43656655" w:rsidR="00E83672" w:rsidRDefault="00E83672">
    <w:pPr>
      <w:pStyle w:val="Encabezado"/>
    </w:pPr>
    <w:r w:rsidRPr="00E83672">
      <w:rPr>
        <w:noProof/>
        <w:lang w:val="es-ES" w:eastAsia="es-ES"/>
      </w:rPr>
      <w:drawing>
        <wp:anchor distT="0" distB="0" distL="114300" distR="114300" simplePos="0" relativeHeight="251660288" behindDoc="1" locked="0" layoutInCell="1" allowOverlap="1" wp14:anchorId="216D8D75" wp14:editId="37AA787A">
          <wp:simplePos x="0" y="0"/>
          <wp:positionH relativeFrom="margin">
            <wp:posOffset>5201285</wp:posOffset>
          </wp:positionH>
          <wp:positionV relativeFrom="paragraph">
            <wp:posOffset>-236855</wp:posOffset>
          </wp:positionV>
          <wp:extent cx="1303655" cy="1144270"/>
          <wp:effectExtent l="0" t="0" r="0" b="0"/>
          <wp:wrapThrough wrapText="bothSides">
            <wp:wrapPolygon edited="0">
              <wp:start x="0" y="0"/>
              <wp:lineTo x="0" y="21216"/>
              <wp:lineTo x="21148" y="21216"/>
              <wp:lineTo x="21148" y="0"/>
              <wp:lineTo x="0" y="0"/>
            </wp:wrapPolygon>
          </wp:wrapThrough>
          <wp:docPr id="1" name="Imagen 1" descr="C:\Users\Brenda\AppData\Local\Microsoft\Windows\INetCache\Content.Word\unnam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Brenda\AppData\Local\Microsoft\Windows\INetCache\Content.Word\unnamed.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2827" b="51582"/>
                  <a:stretch/>
                </pic:blipFill>
                <pic:spPr bwMode="auto">
                  <a:xfrm>
                    <a:off x="0" y="0"/>
                    <a:ext cx="1303655" cy="1144270"/>
                  </a:xfrm>
                  <a:prstGeom prst="rect">
                    <a:avLst/>
                  </a:prstGeom>
                  <a:noFill/>
                  <a:ln>
                    <a:noFill/>
                  </a:ln>
                  <a:extLst>
                    <a:ext uri="{53640926-AAD7-44D8-BBD7-CCE9431645EC}">
                      <a14:shadowObscured xmlns:a14="http://schemas.microsoft.com/office/drawing/2010/main"/>
                    </a:ext>
                  </a:extLst>
                </pic:spPr>
              </pic:pic>
            </a:graphicData>
          </a:graphic>
        </wp:anchor>
      </w:drawing>
    </w:r>
    <w:r w:rsidRPr="00E83672">
      <w:rPr>
        <w:noProof/>
        <w:lang w:val="es-ES" w:eastAsia="es-ES"/>
      </w:rPr>
      <w:drawing>
        <wp:anchor distT="0" distB="0" distL="114300" distR="114300" simplePos="0" relativeHeight="251659264" behindDoc="1" locked="0" layoutInCell="1" allowOverlap="1" wp14:anchorId="3B525301" wp14:editId="2177C229">
          <wp:simplePos x="0" y="0"/>
          <wp:positionH relativeFrom="margin">
            <wp:align>left</wp:align>
          </wp:positionH>
          <wp:positionV relativeFrom="paragraph">
            <wp:posOffset>-267970</wp:posOffset>
          </wp:positionV>
          <wp:extent cx="1391285" cy="1144270"/>
          <wp:effectExtent l="0" t="0" r="0" b="0"/>
          <wp:wrapThrough wrapText="bothSides">
            <wp:wrapPolygon edited="0">
              <wp:start x="0" y="0"/>
              <wp:lineTo x="0" y="21216"/>
              <wp:lineTo x="21294" y="21216"/>
              <wp:lineTo x="21294" y="0"/>
              <wp:lineTo x="0" y="0"/>
            </wp:wrapPolygon>
          </wp:wrapThrough>
          <wp:docPr id="10" name="Imagen 10" descr="C:\Users\Brenda\AppData\Local\Microsoft\Windows\INetCache\Content.Word\unnam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Brenda\AppData\Local\Microsoft\Windows\INetCache\Content.Word\unnamed.png"/>
                  <pic:cNvPicPr>
                    <a:picLocks noChangeAspect="1" noChangeArrowheads="1"/>
                  </pic:cNvPicPr>
                </pic:nvPicPr>
                <pic:blipFill rotWithShape="1">
                  <a:blip r:embed="rId1">
                    <a:extLst>
                      <a:ext uri="{28A0092B-C50C-407E-A947-70E740481C1C}">
                        <a14:useLocalDpi xmlns:a14="http://schemas.microsoft.com/office/drawing/2010/main" val="0"/>
                      </a:ext>
                    </a:extLst>
                  </a:blip>
                  <a:srcRect l="314" r="81361" b="51582"/>
                  <a:stretch/>
                </pic:blipFill>
                <pic:spPr bwMode="auto">
                  <a:xfrm>
                    <a:off x="0" y="0"/>
                    <a:ext cx="1391285" cy="1144270"/>
                  </a:xfrm>
                  <a:prstGeom prst="rect">
                    <a:avLst/>
                  </a:prstGeom>
                  <a:noFill/>
                  <a:ln>
                    <a:noFill/>
                  </a:ln>
                  <a:extLst>
                    <a:ext uri="{53640926-AAD7-44D8-BBD7-CCE9431645EC}">
                      <a14:shadowObscured xmlns:a14="http://schemas.microsoft.com/office/drawing/2010/main"/>
                    </a:ext>
                  </a:extLst>
                </pic:spPr>
              </pic:pic>
            </a:graphicData>
          </a:graphic>
        </wp:anchor>
      </w:drawing>
    </w:r>
  </w:p>
  <w:p w14:paraId="259ABD0A" w14:textId="39ED840D" w:rsidR="00E83672" w:rsidRDefault="00E83672">
    <w:pPr>
      <w:pStyle w:val="Encabezado"/>
    </w:pPr>
  </w:p>
  <w:p w14:paraId="3C52F390" w14:textId="26346723" w:rsidR="00E83672" w:rsidRDefault="00E83672">
    <w:pPr>
      <w:pStyle w:val="Encabezado"/>
    </w:pPr>
  </w:p>
  <w:p w14:paraId="5556A75D" w14:textId="77777777" w:rsidR="00E83672" w:rsidRDefault="00E83672">
    <w:pPr>
      <w:pStyle w:val="Encabezado"/>
    </w:pPr>
  </w:p>
  <w:p w14:paraId="785F82A2" w14:textId="578C01B0" w:rsidR="00E83672" w:rsidRDefault="00E83672">
    <w:pPr>
      <w:pStyle w:val="Encabezado"/>
    </w:pPr>
  </w:p>
  <w:p w14:paraId="6A644568" w14:textId="4C6E9EA3" w:rsidR="00E83672" w:rsidRDefault="00E83672">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0F84"/>
    <w:rsid w:val="00010135"/>
    <w:rsid w:val="003B5349"/>
    <w:rsid w:val="003E5BB9"/>
    <w:rsid w:val="00471B04"/>
    <w:rsid w:val="00821DBF"/>
    <w:rsid w:val="008C1292"/>
    <w:rsid w:val="00941D7B"/>
    <w:rsid w:val="00A30F84"/>
    <w:rsid w:val="00CE3782"/>
    <w:rsid w:val="00CE7FD1"/>
    <w:rsid w:val="00E83672"/>
    <w:rsid w:val="00EB27BF"/>
    <w:rsid w:val="00F01E82"/>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CED5B"/>
  <w15:docId w15:val="{962EEA7E-3640-4A83-AA25-9FDE534FE8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AR" w:eastAsia="es-A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character" w:styleId="Hipervnculo">
    <w:name w:val="Hyperlink"/>
    <w:basedOn w:val="Fuentedeprrafopredeter"/>
    <w:uiPriority w:val="99"/>
    <w:unhideWhenUsed/>
    <w:rsid w:val="00CE3782"/>
    <w:rPr>
      <w:color w:val="0000FF" w:themeColor="hyperlink"/>
      <w:u w:val="single"/>
    </w:rPr>
  </w:style>
  <w:style w:type="paragraph" w:styleId="Encabezado">
    <w:name w:val="header"/>
    <w:basedOn w:val="Normal"/>
    <w:link w:val="EncabezadoCar"/>
    <w:uiPriority w:val="99"/>
    <w:unhideWhenUsed/>
    <w:rsid w:val="00E8367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83672"/>
  </w:style>
  <w:style w:type="paragraph" w:styleId="Piedepgina">
    <w:name w:val="footer"/>
    <w:basedOn w:val="Normal"/>
    <w:link w:val="PiedepginaCar"/>
    <w:uiPriority w:val="99"/>
    <w:unhideWhenUsed/>
    <w:rsid w:val="00E8367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836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bienalsur.org"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1078</Words>
  <Characters>5930</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Claribel</dc:creator>
  <cp:lastModifiedBy>Marisa</cp:lastModifiedBy>
  <cp:revision>2</cp:revision>
  <dcterms:created xsi:type="dcterms:W3CDTF">2020-04-14T21:29:00Z</dcterms:created>
  <dcterms:modified xsi:type="dcterms:W3CDTF">2020-04-14T21:29:00Z</dcterms:modified>
</cp:coreProperties>
</file>